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A" w:rsidRDefault="001A5EAA" w:rsidP="00F94210">
      <w:pPr>
        <w:rPr>
          <w:b/>
          <w:bCs/>
          <w:color w:val="000000"/>
        </w:rPr>
      </w:pPr>
      <w:bookmarkStart w:id="0" w:name="_GoBack"/>
      <w:bookmarkEnd w:id="0"/>
    </w:p>
    <w:p w:rsidR="001A5EAA" w:rsidRDefault="001A5EAA"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lang w:val="kk-KZ"/>
              </w:rPr>
              <w:t>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522493">
        <w:rPr>
          <w:b/>
          <w:color w:val="000000"/>
          <w:lang w:val="kk-KZ"/>
        </w:rPr>
        <w:t>мая</w:t>
      </w:r>
      <w:r w:rsidR="00BF7A47" w:rsidRPr="00BF7A47">
        <w:rPr>
          <w:b/>
          <w:color w:val="000000"/>
        </w:rPr>
        <w:t xml:space="preserve"> 201</w:t>
      </w:r>
      <w:r>
        <w:rPr>
          <w:b/>
          <w:color w:val="000000"/>
        </w:rPr>
        <w:t>8</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522493" w:rsidP="002A6D88">
      <w:pPr>
        <w:ind w:left="-284"/>
        <w:jc w:val="center"/>
        <w:rPr>
          <w:b/>
          <w:bCs/>
          <w:color w:val="000000"/>
        </w:rPr>
      </w:pPr>
      <w:r>
        <w:rPr>
          <w:b/>
          <w:bCs/>
          <w:color w:val="000000"/>
        </w:rPr>
        <w:t>по закупкам дезинфицирующих средств и ИМН</w:t>
      </w:r>
      <w:r w:rsidR="006214BD"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rPr>
          <w:lang w:val="kk-KZ"/>
        </w:rPr>
        <w:t>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Pr="006203F9">
        <w:t xml:space="preserve"> на 201</w:t>
      </w:r>
      <w:r w:rsidR="002E3C69">
        <w:t>8</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w:t>
      </w:r>
      <w:r w:rsidR="00AB68DD">
        <w:rPr>
          <w:color w:val="000000"/>
          <w:lang w:val="kk-KZ"/>
        </w:rPr>
        <w:t xml:space="preserve"> казенное</w:t>
      </w:r>
      <w:r w:rsidRPr="006203F9">
        <w:rPr>
          <w:color w:val="000000"/>
        </w:rPr>
        <w:t xml:space="preserve">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1"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lastRenderedPageBreak/>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73217" w:rsidRDefault="00E73217" w:rsidP="00E73217">
      <w:pPr>
        <w:ind w:left="-284"/>
        <w:jc w:val="both"/>
      </w:pPr>
      <w:r>
        <w:t xml:space="preserve">     </w:t>
      </w:r>
      <w:proofErr w:type="gramStart"/>
      <w: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t xml:space="preserve"> медицинского назначения и медицинской техники и не </w:t>
      </w:r>
      <w:proofErr w:type="gramStart"/>
      <w:r>
        <w:t>используемых</w:t>
      </w:r>
      <w:proofErr w:type="gramEnd"/>
      <w: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73217" w:rsidRDefault="00E73217" w:rsidP="00E73217">
      <w:pPr>
        <w:ind w:left="-284"/>
        <w:jc w:val="both"/>
      </w:pPr>
      <w: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E73217" w:rsidRDefault="00E73217" w:rsidP="00E73217">
      <w:pPr>
        <w:ind w:left="-284"/>
        <w:jc w:val="both"/>
      </w:pPr>
      <w: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73217" w:rsidRDefault="00E73217" w:rsidP="00E73217">
      <w:pPr>
        <w:ind w:left="-284"/>
        <w:jc w:val="both"/>
      </w:pPr>
      <w: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E73217" w:rsidRDefault="00E73217" w:rsidP="00E73217">
      <w:pPr>
        <w:ind w:left="-284"/>
        <w:jc w:val="both"/>
      </w:pPr>
      <w:r>
        <w:t xml:space="preserve">      не менее пятидесяти процентов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двенадцати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E73217" w:rsidRDefault="00E73217" w:rsidP="00E73217">
      <w:pPr>
        <w:ind w:left="-284"/>
        <w:jc w:val="both"/>
      </w:pPr>
      <w: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73217" w:rsidRDefault="00E73217" w:rsidP="00E73217">
      <w:pPr>
        <w:ind w:left="-284"/>
        <w:jc w:val="both"/>
      </w:pPr>
      <w: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w:t>
      </w:r>
      <w:r>
        <w:lastRenderedPageBreak/>
        <w:t>финансового года, и не менее двенадцати месяцев при последующих поставках в течение финансового года;</w:t>
      </w:r>
    </w:p>
    <w:p w:rsidR="00E73217" w:rsidRDefault="00E73217" w:rsidP="00E73217">
      <w:pPr>
        <w:ind w:left="-284"/>
        <w:jc w:val="both"/>
      </w:pPr>
      <w: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E73217" w:rsidRDefault="00E73217" w:rsidP="00E73217">
      <w:pPr>
        <w:ind w:left="-284"/>
        <w:jc w:val="both"/>
      </w:pPr>
      <w:r>
        <w:t xml:space="preserve">      не менее тридцати процентов от срока годности, указанного на упаковке (при сроке годности менее двух лет);</w:t>
      </w:r>
    </w:p>
    <w:p w:rsidR="00E73217" w:rsidRDefault="00E73217" w:rsidP="00E73217">
      <w:pPr>
        <w:ind w:left="-284"/>
        <w:jc w:val="both"/>
      </w:pPr>
      <w:r>
        <w:t xml:space="preserve">      не менее восьми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7) срок годности вакцин на дату поставки единым дистрибьютором заказчику составляет:</w:t>
      </w:r>
    </w:p>
    <w:p w:rsidR="00E73217" w:rsidRDefault="00E73217" w:rsidP="00E73217">
      <w:pPr>
        <w:ind w:left="-284"/>
        <w:jc w:val="both"/>
      </w:pPr>
      <w:r>
        <w:t xml:space="preserve">      не </w:t>
      </w:r>
      <w:proofErr w:type="gramStart"/>
      <w:r>
        <w:t>менее сорока процентов</w:t>
      </w:r>
      <w:proofErr w:type="gramEnd"/>
      <w:r>
        <w:t xml:space="preserve">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десяти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65F1E" w:rsidRPr="006203F9" w:rsidRDefault="00E73217" w:rsidP="00E73217">
      <w:pPr>
        <w:ind w:left="-284"/>
        <w:jc w:val="both"/>
      </w:pPr>
      <w: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Start"/>
      <w:r>
        <w:t>.</w:t>
      </w:r>
      <w:r w:rsidR="00A65F1E" w:rsidRPr="006203F9">
        <w:t>.</w:t>
      </w:r>
      <w:proofErr w:type="gramEnd"/>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522493">
        <w:rPr>
          <w:b/>
        </w:rPr>
        <w:t>дезинфицирующих средств и ИМН</w:t>
      </w:r>
      <w:r w:rsidR="002E07DF" w:rsidRPr="002E07DF">
        <w:rPr>
          <w:b/>
        </w:rPr>
        <w:t xml:space="preserve"> </w:t>
      </w:r>
      <w:r w:rsidRPr="002E3C69">
        <w:rPr>
          <w:b/>
        </w:rPr>
        <w:t xml:space="preserve">" и "Не </w:t>
      </w:r>
      <w:r w:rsidRPr="000B6FD1">
        <w:rPr>
          <w:b/>
        </w:rPr>
        <w:t xml:space="preserve">вскрывать до </w:t>
      </w:r>
      <w:r w:rsidR="007369FF">
        <w:rPr>
          <w:b/>
        </w:rPr>
        <w:t>30</w:t>
      </w:r>
      <w:r w:rsidR="00522493">
        <w:rPr>
          <w:b/>
        </w:rPr>
        <w:t xml:space="preserve"> мая </w:t>
      </w:r>
      <w:r w:rsidR="00AB68DD">
        <w:rPr>
          <w:b/>
        </w:rPr>
        <w:t xml:space="preserve"> 2018г.,</w:t>
      </w:r>
      <w:r w:rsidR="00AB68DD">
        <w:rPr>
          <w:b/>
          <w:lang w:val="kk-KZ"/>
        </w:rPr>
        <w:t xml:space="preserve"> </w:t>
      </w:r>
      <w:r w:rsidR="00AB68DD">
        <w:rPr>
          <w:b/>
        </w:rPr>
        <w:t>1</w:t>
      </w:r>
      <w:r w:rsidR="00AB68DD">
        <w:rPr>
          <w:b/>
          <w:lang w:val="kk-KZ"/>
        </w:rPr>
        <w:t>0</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обеспечения. </w:t>
      </w:r>
      <w:proofErr w:type="gramStart"/>
      <w:r w:rsidR="002E3C69" w:rsidRPr="002E3C69">
        <w:t xml:space="preserve">В случае привлечения соисполнителя, потенциальный поставщик также </w:t>
      </w:r>
      <w:r w:rsidR="002E3C69" w:rsidRPr="002E3C69">
        <w:lastRenderedPageBreak/>
        <w:t>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2E3C69" w:rsidRDefault="002E3C69" w:rsidP="002E3C69">
      <w:pPr>
        <w:ind w:left="-284"/>
        <w:jc w:val="both"/>
      </w:pPr>
      <w: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E3C69" w:rsidRDefault="002E3C69" w:rsidP="002E3C69">
      <w:pPr>
        <w:ind w:left="-284"/>
        <w:jc w:val="both"/>
      </w:pPr>
    </w:p>
    <w:p w:rsidR="002E3C69" w:rsidRDefault="002E3C69" w:rsidP="002E3C69">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E3C69" w:rsidRDefault="002E3C69" w:rsidP="002E3C69">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E3C69" w:rsidRDefault="002E3C69" w:rsidP="002E3C69">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E3C69" w:rsidRDefault="002E3C69" w:rsidP="002E3C69">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E3C69" w:rsidRDefault="002E3C69" w:rsidP="002E3C69">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E3C69" w:rsidRDefault="002E3C69" w:rsidP="002E3C69">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E3C69" w:rsidRDefault="002E3C69" w:rsidP="002E3C69">
      <w:pPr>
        <w:ind w:left="-284"/>
        <w:jc w:val="both"/>
      </w:pPr>
      <w:r>
        <w:t xml:space="preserve">      8) сведения о квалификации по форме, утвержденной уполномоченным органом в области здравоохранения;</w:t>
      </w:r>
    </w:p>
    <w:p w:rsidR="002E3C69" w:rsidRDefault="002E3C69" w:rsidP="002E3C69">
      <w:pPr>
        <w:ind w:left="-284"/>
        <w:jc w:val="both"/>
      </w:pPr>
      <w:r>
        <w:lastRenderedPageBreak/>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2E3C69" w:rsidRDefault="002E3C69" w:rsidP="002E3C69">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E3C69" w:rsidRDefault="002E3C69" w:rsidP="002E3C69">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E3C69" w:rsidRDefault="002E3C69" w:rsidP="002E3C69">
      <w:pPr>
        <w:ind w:left="-284"/>
        <w:jc w:val="both"/>
      </w:pPr>
      <w:r>
        <w:t xml:space="preserve">      12) сопутствующие услуги;</w:t>
      </w:r>
    </w:p>
    <w:p w:rsidR="002E3C69" w:rsidRDefault="002E3C69" w:rsidP="002E3C69">
      <w:pPr>
        <w:ind w:left="-284"/>
        <w:jc w:val="both"/>
      </w:pPr>
      <w:r>
        <w:t xml:space="preserve">      13) оригинал документа, подтверждающего внесение гарантийного обеспечения тендерной заявки;</w:t>
      </w:r>
    </w:p>
    <w:p w:rsidR="002E3C69" w:rsidRDefault="002E3C69" w:rsidP="002E3C69">
      <w:pPr>
        <w:ind w:left="-284"/>
        <w:jc w:val="both"/>
      </w:pPr>
      <w: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2E3C69" w:rsidRDefault="002E3C69" w:rsidP="002E3C69">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2E3C69" w:rsidRDefault="002E3C69" w:rsidP="002E3C69">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2E3C69" w:rsidRDefault="002E3C69" w:rsidP="002E3C69">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2E3C69" w:rsidRDefault="002E3C69" w:rsidP="002E3C69">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E3C69" w:rsidRDefault="002E3C69" w:rsidP="002E3C69">
      <w:pPr>
        <w:ind w:left="-284"/>
        <w:jc w:val="both"/>
      </w:pPr>
      <w:r>
        <w:t xml:space="preserve">     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E3C69" w:rsidRDefault="002E3C69" w:rsidP="00A65F1E">
      <w:pPr>
        <w:ind w:left="-284"/>
        <w:jc w:val="both"/>
      </w:pPr>
    </w:p>
    <w:p w:rsidR="00A65F1E" w:rsidRPr="002E3C69" w:rsidRDefault="00A65F1E" w:rsidP="00A65F1E">
      <w:pPr>
        <w:ind w:left="-284"/>
        <w:jc w:val="both"/>
        <w:rPr>
          <w:b/>
          <w:u w:val="single"/>
        </w:rPr>
      </w:pPr>
      <w:r w:rsidRPr="002E3C69">
        <w:rPr>
          <w:b/>
        </w:rPr>
        <w:t xml:space="preserve">       </w:t>
      </w:r>
      <w:r w:rsidRPr="002E3C69">
        <w:rPr>
          <w:b/>
          <w:u w:val="single"/>
        </w:rPr>
        <w:t>Техническая часть тендерной заявки содержит:</w:t>
      </w:r>
    </w:p>
    <w:p w:rsidR="002E3C69" w:rsidRPr="006203F9" w:rsidRDefault="002E3C69" w:rsidP="00A65F1E">
      <w:pPr>
        <w:ind w:left="-284"/>
        <w:jc w:val="both"/>
      </w:pP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r>
      <w:r w:rsidRPr="006203F9">
        <w:lastRenderedPageBreak/>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2E07DF" w:rsidRDefault="00A65F1E" w:rsidP="00A65F1E">
      <w:pPr>
        <w:ind w:left="-284"/>
        <w:jc w:val="both"/>
        <w:rPr>
          <w:rStyle w:val="s0"/>
          <w:b/>
          <w:sz w:val="24"/>
          <w:szCs w:val="24"/>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AB68DD" w:rsidRPr="00AB68DD">
        <w:rPr>
          <w:b/>
        </w:rPr>
        <w:t>316010121000002153</w:t>
      </w:r>
      <w:r w:rsidRPr="002E07DF">
        <w:rPr>
          <w:b/>
        </w:rPr>
        <w:t xml:space="preserve">; Банк: </w:t>
      </w:r>
      <w:r w:rsidRPr="002E07DF">
        <w:rPr>
          <w:b/>
          <w:lang w:val="kk-KZ"/>
        </w:rPr>
        <w:t>АО «</w:t>
      </w:r>
      <w:r w:rsidR="00AB68DD">
        <w:rPr>
          <w:b/>
          <w:lang w:val="kk-KZ"/>
        </w:rPr>
        <w:t>Народный банк Казахстана</w:t>
      </w:r>
      <w:r w:rsidRPr="00AB68DD">
        <w:rPr>
          <w:b/>
          <w:lang w:val="kk-KZ"/>
        </w:rPr>
        <w:t xml:space="preserve">», БИК: </w:t>
      </w:r>
      <w:r w:rsidR="00AB68DD" w:rsidRPr="00AB68DD">
        <w:rPr>
          <w:b/>
          <w:lang w:val="en-US"/>
        </w:rPr>
        <w:t>HSBKKZKX</w:t>
      </w:r>
      <w:r w:rsidRPr="002E07DF">
        <w:rPr>
          <w:b/>
          <w:lang w:val="kk-KZ"/>
        </w:rPr>
        <w:t>; КБЕ: 16</w:t>
      </w:r>
      <w:r w:rsidRPr="002E07DF">
        <w:rPr>
          <w:rStyle w:val="s0"/>
          <w:b/>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1"/>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lastRenderedPageBreak/>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 xml:space="preserve">о закупу </w:t>
      </w:r>
      <w:r w:rsidR="00522493">
        <w:rPr>
          <w:szCs w:val="24"/>
        </w:rPr>
        <w:t xml:space="preserve">дезинфицирующих средств и </w:t>
      </w:r>
      <w:r w:rsidR="00AB68DD">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7369FF">
        <w:rPr>
          <w:szCs w:val="24"/>
          <w:lang w:val="kk-KZ"/>
        </w:rPr>
        <w:t>30</w:t>
      </w:r>
      <w:r w:rsidR="00522493">
        <w:rPr>
          <w:szCs w:val="24"/>
        </w:rPr>
        <w:t xml:space="preserve"> мая</w:t>
      </w:r>
      <w:r w:rsidRPr="000B6FD1">
        <w:rPr>
          <w:szCs w:val="24"/>
        </w:rPr>
        <w:t xml:space="preserve"> 201</w:t>
      </w:r>
      <w:r w:rsidR="00EE21F5" w:rsidRPr="000B6FD1">
        <w:rPr>
          <w:szCs w:val="24"/>
        </w:rPr>
        <w:t>8</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lastRenderedPageBreak/>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1E7547">
        <w:t>0</w:t>
      </w:r>
      <w:r w:rsidRPr="000B6FD1">
        <w:t xml:space="preserve"> часов </w:t>
      </w:r>
      <w:r w:rsidR="00522493">
        <w:rPr>
          <w:lang w:val="kk-KZ"/>
        </w:rPr>
        <w:t>30</w:t>
      </w:r>
      <w:r w:rsidRPr="000B6FD1">
        <w:t xml:space="preserve"> минут «</w:t>
      </w:r>
      <w:r w:rsidR="007369FF">
        <w:rPr>
          <w:lang w:val="kk-KZ"/>
        </w:rPr>
        <w:t>30</w:t>
      </w:r>
      <w:r w:rsidRPr="000B6FD1">
        <w:t xml:space="preserve">» </w:t>
      </w:r>
      <w:r w:rsidR="00522493">
        <w:t>мая</w:t>
      </w:r>
      <w:r w:rsidR="000B6FD1" w:rsidRPr="000B6FD1">
        <w:t xml:space="preserve"> </w:t>
      </w:r>
      <w:r w:rsidR="00EE21F5" w:rsidRPr="000B6FD1">
        <w:t xml:space="preserve"> 2018</w:t>
      </w:r>
      <w:r w:rsidRPr="000B6FD1">
        <w:t xml:space="preserve"> года по следующему адресу: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w:t>
      </w:r>
      <w:r w:rsidRPr="006203F9">
        <w:rPr>
          <w:rStyle w:val="s0"/>
          <w:sz w:val="24"/>
          <w:szCs w:val="24"/>
        </w:rPr>
        <w:lastRenderedPageBreak/>
        <w:t>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lastRenderedPageBreak/>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lastRenderedPageBreak/>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2A52C1">
        <w:rPr>
          <w:color w:val="000000"/>
        </w:rPr>
        <w:t>8</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0B6FD1"/>
    <w:rsid w:val="00147AFC"/>
    <w:rsid w:val="00196E4B"/>
    <w:rsid w:val="001A5EAA"/>
    <w:rsid w:val="001E7547"/>
    <w:rsid w:val="002A52C1"/>
    <w:rsid w:val="002A6D88"/>
    <w:rsid w:val="002C6D21"/>
    <w:rsid w:val="002E07DF"/>
    <w:rsid w:val="002E3C69"/>
    <w:rsid w:val="00303EA9"/>
    <w:rsid w:val="003102FB"/>
    <w:rsid w:val="0032190E"/>
    <w:rsid w:val="00371B3F"/>
    <w:rsid w:val="00395FDE"/>
    <w:rsid w:val="003E7ABA"/>
    <w:rsid w:val="00412C5D"/>
    <w:rsid w:val="004305CF"/>
    <w:rsid w:val="004F678C"/>
    <w:rsid w:val="00522493"/>
    <w:rsid w:val="005726DA"/>
    <w:rsid w:val="005925CC"/>
    <w:rsid w:val="005E48B6"/>
    <w:rsid w:val="006203F9"/>
    <w:rsid w:val="006214BD"/>
    <w:rsid w:val="00635567"/>
    <w:rsid w:val="00651D6B"/>
    <w:rsid w:val="00680D8A"/>
    <w:rsid w:val="006C5F82"/>
    <w:rsid w:val="00703A83"/>
    <w:rsid w:val="007315EE"/>
    <w:rsid w:val="007369FF"/>
    <w:rsid w:val="00737120"/>
    <w:rsid w:val="00766E59"/>
    <w:rsid w:val="007C61D9"/>
    <w:rsid w:val="007E292C"/>
    <w:rsid w:val="008742CA"/>
    <w:rsid w:val="008909A9"/>
    <w:rsid w:val="00895864"/>
    <w:rsid w:val="008B4156"/>
    <w:rsid w:val="009428FC"/>
    <w:rsid w:val="009B09CA"/>
    <w:rsid w:val="009F2791"/>
    <w:rsid w:val="00A57170"/>
    <w:rsid w:val="00A65F1E"/>
    <w:rsid w:val="00A73F2D"/>
    <w:rsid w:val="00A90B96"/>
    <w:rsid w:val="00AB68DD"/>
    <w:rsid w:val="00AB7C3A"/>
    <w:rsid w:val="00AE43C3"/>
    <w:rsid w:val="00AF65E2"/>
    <w:rsid w:val="00B00F7E"/>
    <w:rsid w:val="00B1027A"/>
    <w:rsid w:val="00B20F95"/>
    <w:rsid w:val="00B2708F"/>
    <w:rsid w:val="00B32B49"/>
    <w:rsid w:val="00B55E1B"/>
    <w:rsid w:val="00B63600"/>
    <w:rsid w:val="00BF7A47"/>
    <w:rsid w:val="00C61026"/>
    <w:rsid w:val="00CC05D3"/>
    <w:rsid w:val="00CF7FEF"/>
    <w:rsid w:val="00D07865"/>
    <w:rsid w:val="00D3707E"/>
    <w:rsid w:val="00D823CB"/>
    <w:rsid w:val="00DA0969"/>
    <w:rsid w:val="00DB50C7"/>
    <w:rsid w:val="00E32DB9"/>
    <w:rsid w:val="00E73217"/>
    <w:rsid w:val="00E96D98"/>
    <w:rsid w:val="00ED40FB"/>
    <w:rsid w:val="00EE16F2"/>
    <w:rsid w:val="00EE21F5"/>
    <w:rsid w:val="00F0372A"/>
    <w:rsid w:val="00F1571E"/>
    <w:rsid w:val="00F82953"/>
    <w:rsid w:val="00F94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ktob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9190</Words>
  <Characters>52387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4</cp:revision>
  <cp:lastPrinted>2018-05-22T12:22:00Z</cp:lastPrinted>
  <dcterms:created xsi:type="dcterms:W3CDTF">2018-05-16T07:34:00Z</dcterms:created>
  <dcterms:modified xsi:type="dcterms:W3CDTF">2018-05-22T12:22:00Z</dcterms:modified>
</cp:coreProperties>
</file>